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7AAC" w14:textId="6AC1F300" w:rsidR="000B597C" w:rsidRDefault="00CD5ED5" w:rsidP="00CD5ED5">
      <w:pPr>
        <w:spacing w:before="10" w:line="306" w:lineRule="exact"/>
        <w:jc w:val="center"/>
        <w:textAlignment w:val="baseline"/>
        <w:rPr>
          <w:rFonts w:eastAsia="Arial"/>
          <w:b/>
          <w:color w:val="000000"/>
          <w:sz w:val="28"/>
          <w:szCs w:val="28"/>
          <w:u w:val="single"/>
        </w:rPr>
      </w:pPr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2020 </w:t>
      </w:r>
      <w:proofErr w:type="spellStart"/>
      <w:r w:rsidRPr="00CD5ED5">
        <w:rPr>
          <w:rFonts w:eastAsia="Arial"/>
          <w:b/>
          <w:color w:val="000000"/>
          <w:sz w:val="28"/>
          <w:szCs w:val="28"/>
          <w:u w:val="single"/>
        </w:rPr>
        <w:t>Propuestas</w:t>
      </w:r>
      <w:proofErr w:type="spellEnd"/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CD5ED5">
        <w:rPr>
          <w:rFonts w:eastAsia="Arial"/>
          <w:b/>
          <w:color w:val="000000"/>
          <w:sz w:val="28"/>
          <w:szCs w:val="28"/>
          <w:u w:val="single"/>
        </w:rPr>
        <w:t>Votación</w:t>
      </w:r>
      <w:proofErr w:type="spellEnd"/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 de las </w:t>
      </w:r>
      <w:proofErr w:type="spellStart"/>
      <w:r w:rsidRPr="00CD5ED5">
        <w:rPr>
          <w:rFonts w:eastAsia="Arial"/>
          <w:b/>
          <w:color w:val="000000"/>
          <w:sz w:val="28"/>
          <w:szCs w:val="28"/>
          <w:u w:val="single"/>
        </w:rPr>
        <w:t>Elecciones</w:t>
      </w:r>
      <w:proofErr w:type="spellEnd"/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D5ED5">
        <w:rPr>
          <w:rFonts w:eastAsia="Arial"/>
          <w:b/>
          <w:color w:val="000000"/>
          <w:sz w:val="28"/>
          <w:szCs w:val="28"/>
          <w:u w:val="single"/>
        </w:rPr>
        <w:t>Primarias</w:t>
      </w:r>
      <w:proofErr w:type="spellEnd"/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CD5ED5">
        <w:rPr>
          <w:rFonts w:eastAsia="Arial"/>
          <w:b/>
          <w:color w:val="000000"/>
          <w:sz w:val="28"/>
          <w:szCs w:val="28"/>
          <w:u w:val="single"/>
        </w:rPr>
        <w:t>Republicanas</w:t>
      </w:r>
      <w:proofErr w:type="spellEnd"/>
      <w:r w:rsidRPr="00CD5ED5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</w:p>
    <w:p w14:paraId="2D944A20" w14:textId="77777777" w:rsidR="00CD5ED5" w:rsidRPr="00CD5ED5" w:rsidRDefault="00CD5ED5" w:rsidP="00CD5ED5">
      <w:pPr>
        <w:spacing w:before="10" w:line="306" w:lineRule="exact"/>
        <w:jc w:val="center"/>
        <w:textAlignment w:val="baseline"/>
        <w:rPr>
          <w:rFonts w:eastAsia="Arial"/>
          <w:b/>
          <w:color w:val="000000"/>
          <w:spacing w:val="-3"/>
          <w:sz w:val="28"/>
          <w:szCs w:val="28"/>
          <w:u w:val="single"/>
        </w:rPr>
      </w:pPr>
    </w:p>
    <w:p w14:paraId="4AE6FF49" w14:textId="0857FA71" w:rsidR="000B597C" w:rsidRPr="00CD5ED5" w:rsidRDefault="00CD5ED5" w:rsidP="00CD5ED5">
      <w:pPr>
        <w:spacing w:line="603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1 </w:t>
      </w:r>
    </w:p>
    <w:p w14:paraId="1ADC7574" w14:textId="77777777" w:rsidR="000B597C" w:rsidRPr="00CD5ED5" w:rsidRDefault="00CD5ED5">
      <w:pPr>
        <w:spacing w:before="279" w:line="271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El Estado de Texas no debe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restringir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ni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prohibir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el que se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pueda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orar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escuelas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públicas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1692A621" w14:textId="77777777" w:rsidR="000B597C" w:rsidRPr="00CD5ED5" w:rsidRDefault="00CD5ED5">
      <w:pPr>
        <w:spacing w:before="281" w:line="271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p w14:paraId="12FC024E" w14:textId="367668AC" w:rsidR="000B597C" w:rsidRPr="00CD5ED5" w:rsidRDefault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Proposición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2 </w:t>
      </w:r>
    </w:p>
    <w:p w14:paraId="68F1144B" w14:textId="77777777" w:rsidR="000B597C" w:rsidRPr="00CD5ED5" w:rsidRDefault="00CD5ED5">
      <w:pPr>
        <w:spacing w:before="279" w:line="271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El Estado de Texas debe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rechazar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restricciones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al derecho 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tener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portar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armas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03A476AA" w14:textId="77777777" w:rsidR="000B597C" w:rsidRPr="00CD5ED5" w:rsidRDefault="00CD5ED5">
      <w:pPr>
        <w:spacing w:before="281" w:line="271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p w14:paraId="5768FD12" w14:textId="7A841F9B" w:rsidR="000B597C" w:rsidRPr="00CD5ED5" w:rsidRDefault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3 </w:t>
      </w:r>
    </w:p>
    <w:p w14:paraId="71C186E9" w14:textId="77777777" w:rsidR="000B597C" w:rsidRPr="00CD5ED5" w:rsidRDefault="00CD5ED5">
      <w:pPr>
        <w:spacing w:before="274" w:line="276" w:lineRule="exact"/>
        <w:ind w:right="72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El Estado de Texas debe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</w:t>
      </w:r>
      <w:r w:rsidRPr="00CD5ED5">
        <w:rPr>
          <w:rFonts w:eastAsia="Times New Roman"/>
          <w:color w:val="000000"/>
          <w:sz w:val="28"/>
          <w:szCs w:val="28"/>
        </w:rPr>
        <w:t>ohibir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practica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cabildeo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financiado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por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contribuyentes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que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permite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que 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dinero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generado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impuestos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contribuyente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se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utilice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contra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mismo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contribuyente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por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práctica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cabildeo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28617DA6" w14:textId="77777777" w:rsidR="000B597C" w:rsidRPr="00CD5ED5" w:rsidRDefault="00CD5ED5">
      <w:pPr>
        <w:spacing w:before="281" w:line="271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p w14:paraId="3F1E1D73" w14:textId="32AABD30" w:rsidR="000B597C" w:rsidRPr="00CD5ED5" w:rsidRDefault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4 </w:t>
      </w:r>
    </w:p>
    <w:p w14:paraId="015C9DF2" w14:textId="77777777" w:rsidR="000B597C" w:rsidRPr="00CD5ED5" w:rsidRDefault="00CD5ED5">
      <w:pPr>
        <w:spacing w:before="277" w:line="273" w:lineRule="exact"/>
        <w:ind w:right="792"/>
        <w:textAlignment w:val="baseline"/>
        <w:rPr>
          <w:rFonts w:eastAsia="Times New Roman"/>
          <w:color w:val="000000"/>
          <w:spacing w:val="-1"/>
          <w:sz w:val="28"/>
          <w:szCs w:val="28"/>
        </w:rPr>
      </w:pPr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El Estado de Texas debe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apoyar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construcción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de una barrera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física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y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utilizar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equipo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vigilancia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defensa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militar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alta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tecnología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a lo largo de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toda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pacing w:val="-1"/>
          <w:sz w:val="28"/>
          <w:szCs w:val="28"/>
        </w:rPr>
        <w:t>frontera</w:t>
      </w:r>
      <w:proofErr w:type="spellEnd"/>
      <w:r w:rsidRPr="00CD5ED5">
        <w:rPr>
          <w:rFonts w:eastAsia="Times New Roman"/>
          <w:color w:val="000000"/>
          <w:spacing w:val="-1"/>
          <w:sz w:val="28"/>
          <w:szCs w:val="28"/>
        </w:rPr>
        <w:t xml:space="preserve"> sur de Texas.</w:t>
      </w:r>
    </w:p>
    <w:p w14:paraId="5924063C" w14:textId="77777777" w:rsidR="000B597C" w:rsidRPr="00CD5ED5" w:rsidRDefault="00CD5ED5">
      <w:pPr>
        <w:spacing w:before="281" w:line="271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p w14:paraId="561003EA" w14:textId="4076DD8C" w:rsidR="000B597C" w:rsidRPr="00CD5ED5" w:rsidRDefault="00CD5ED5" w:rsidP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5 </w:t>
      </w:r>
    </w:p>
    <w:p w14:paraId="3F72FE53" w14:textId="77777777" w:rsidR="000B597C" w:rsidRPr="00CD5ED5" w:rsidRDefault="00CD5ED5">
      <w:pPr>
        <w:spacing w:before="273" w:line="277" w:lineRule="exact"/>
        <w:ind w:right="216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Los padres o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tutores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legales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menores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18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añ</w:t>
      </w:r>
      <w:r w:rsidRPr="00CD5ED5">
        <w:rPr>
          <w:rFonts w:eastAsia="Times New Roman"/>
          <w:color w:val="000000"/>
          <w:sz w:val="28"/>
          <w:szCs w:val="28"/>
        </w:rPr>
        <w:t>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escuelas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Texas,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ser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únicos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responsables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tomar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decisiones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concernientes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salud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sus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hijos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incluyendo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sin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limitación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toma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decisiones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para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evaluaciones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psicológicas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administración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tratamientos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anticonceptivos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reci</w:t>
      </w:r>
      <w:r w:rsidRPr="00CD5ED5">
        <w:rPr>
          <w:rFonts w:eastAsia="Times New Roman"/>
          <w:color w:val="000000"/>
          <w:sz w:val="28"/>
          <w:szCs w:val="28"/>
        </w:rPr>
        <w:t>bir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educación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sexual.</w:t>
      </w:r>
    </w:p>
    <w:p w14:paraId="39939995" w14:textId="77777777" w:rsidR="000B597C" w:rsidRPr="00CD5ED5" w:rsidRDefault="00CD5ED5">
      <w:pPr>
        <w:spacing w:before="281" w:line="271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p w14:paraId="6E77C464" w14:textId="3D29D06A" w:rsidR="000B597C" w:rsidRPr="00CD5ED5" w:rsidRDefault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6</w:t>
      </w:r>
    </w:p>
    <w:p w14:paraId="03B61350" w14:textId="77777777" w:rsidR="000B597C" w:rsidRPr="00CD5ED5" w:rsidRDefault="00CD5ED5">
      <w:pPr>
        <w:spacing w:before="274" w:line="276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El Estado de Texas debe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prohibir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castración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química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tratamientos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hormonales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para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detener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pubertad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administración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hormonas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sexuales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sexo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opuesto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cirugía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mutilación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genital con fines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transición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sexual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todos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niños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menor</w:t>
      </w:r>
      <w:r w:rsidRPr="00CD5ED5">
        <w:rPr>
          <w:rFonts w:eastAsia="Times New Roman"/>
          <w:color w:val="000000"/>
          <w:sz w:val="28"/>
          <w:szCs w:val="28"/>
        </w:rPr>
        <w:t>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edad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dado que, hay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niños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Texas de tan solo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tres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anos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edad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que has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sido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expuestos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estas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practicas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transición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sexo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opuesto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4A7CFC7D" w14:textId="77777777" w:rsidR="00CD5ED5" w:rsidRPr="00CD5ED5" w:rsidRDefault="00CD5ED5" w:rsidP="00CD5ED5">
      <w:pPr>
        <w:spacing w:before="274" w:line="276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>Si o No</w:t>
      </w:r>
    </w:p>
    <w:p w14:paraId="7B0F9596" w14:textId="77777777" w:rsidR="000B597C" w:rsidRPr="00CD5ED5" w:rsidRDefault="000B597C" w:rsidP="00CD5ED5">
      <w:pPr>
        <w:spacing w:before="274" w:line="276" w:lineRule="exact"/>
        <w:textAlignment w:val="baseline"/>
        <w:rPr>
          <w:rFonts w:eastAsia="Times New Roman"/>
          <w:color w:val="000000"/>
          <w:sz w:val="28"/>
          <w:szCs w:val="28"/>
        </w:rPr>
        <w:sectPr w:rsidR="000B597C" w:rsidRPr="00CD5ED5" w:rsidSect="00CD5ED5">
          <w:pgSz w:w="12240" w:h="15840"/>
          <w:pgMar w:top="720" w:right="990" w:bottom="630" w:left="990" w:header="720" w:footer="720" w:gutter="0"/>
          <w:cols w:space="720"/>
        </w:sectPr>
      </w:pPr>
    </w:p>
    <w:p w14:paraId="06C2A912" w14:textId="4E3E13D6" w:rsidR="000B597C" w:rsidRPr="00CD5ED5" w:rsidRDefault="00CD5ED5" w:rsidP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lastRenderedPageBreak/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7</w:t>
      </w:r>
    </w:p>
    <w:p w14:paraId="74DCDC05" w14:textId="02401534" w:rsidR="000B597C" w:rsidRDefault="00CD5ED5">
      <w:pPr>
        <w:spacing w:before="277" w:line="276" w:lineRule="exact"/>
        <w:ind w:right="288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Los Tejanos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proteger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preservar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todos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monumentos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históricos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reliquias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r w:rsidRPr="00CD5ED5">
        <w:rPr>
          <w:rFonts w:eastAsia="Times New Roman"/>
          <w:color w:val="000000"/>
          <w:sz w:val="28"/>
          <w:szCs w:val="28"/>
        </w:rPr>
        <w:t xml:space="preserve">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edificios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como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 Alamo Cenotaph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nuestro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querido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Alamo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oponerse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cualquier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cambio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imagen que se le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quiera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hacer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el Alamo.</w:t>
      </w:r>
    </w:p>
    <w:p w14:paraId="44FC3161" w14:textId="77777777" w:rsidR="00CD5ED5" w:rsidRPr="00CD5ED5" w:rsidRDefault="00CD5ED5" w:rsidP="00CD5ED5">
      <w:pPr>
        <w:spacing w:before="278" w:line="274" w:lineRule="exact"/>
        <w:textAlignment w:val="baseline"/>
        <w:rPr>
          <w:rFonts w:eastAsia="Times New Roman"/>
          <w:color w:val="000000"/>
          <w:spacing w:val="-3"/>
          <w:sz w:val="28"/>
          <w:szCs w:val="28"/>
        </w:rPr>
      </w:pPr>
      <w:r w:rsidRPr="00CD5ED5">
        <w:rPr>
          <w:rFonts w:eastAsia="Times New Roman"/>
          <w:color w:val="000000"/>
          <w:spacing w:val="-3"/>
          <w:sz w:val="28"/>
          <w:szCs w:val="28"/>
        </w:rPr>
        <w:t>Si o No.</w:t>
      </w:r>
    </w:p>
    <w:p w14:paraId="57F1ACC4" w14:textId="18536AB0" w:rsidR="000B597C" w:rsidRPr="00CD5ED5" w:rsidRDefault="00CD5ED5" w:rsidP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8</w:t>
      </w:r>
    </w:p>
    <w:p w14:paraId="6D7DCC44" w14:textId="77777777" w:rsidR="000B597C" w:rsidRPr="00CD5ED5" w:rsidRDefault="00CD5ED5">
      <w:pPr>
        <w:spacing w:before="277" w:line="276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Los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funcionarios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electorales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Texas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prestar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atención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las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instrucciones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Oficina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Go</w:t>
      </w:r>
      <w:r w:rsidRPr="00CD5ED5">
        <w:rPr>
          <w:rFonts w:eastAsia="Times New Roman"/>
          <w:color w:val="000000"/>
          <w:sz w:val="28"/>
          <w:szCs w:val="28"/>
        </w:rPr>
        <w:t>bernador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para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eliminar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padrón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electoral a personas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ilegales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verificar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que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cada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nuevo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votante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que se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registre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padrón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electoral sea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ciudadano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estadounidense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0E125095" w14:textId="77777777" w:rsidR="000B597C" w:rsidRPr="00CD5ED5" w:rsidRDefault="00CD5ED5">
      <w:pPr>
        <w:spacing w:before="278" w:line="274" w:lineRule="exact"/>
        <w:textAlignment w:val="baseline"/>
        <w:rPr>
          <w:rFonts w:eastAsia="Times New Roman"/>
          <w:color w:val="000000"/>
          <w:spacing w:val="-3"/>
          <w:sz w:val="28"/>
          <w:szCs w:val="28"/>
        </w:rPr>
      </w:pPr>
      <w:r w:rsidRPr="00CD5ED5">
        <w:rPr>
          <w:rFonts w:eastAsia="Times New Roman"/>
          <w:color w:val="000000"/>
          <w:spacing w:val="-3"/>
          <w:sz w:val="28"/>
          <w:szCs w:val="28"/>
        </w:rPr>
        <w:t>Si o No.</w:t>
      </w:r>
    </w:p>
    <w:p w14:paraId="6FAA0B9D" w14:textId="0AC9AAB5" w:rsidR="000B597C" w:rsidRPr="00CD5ED5" w:rsidRDefault="00CD5ED5" w:rsidP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9</w:t>
      </w:r>
    </w:p>
    <w:p w14:paraId="698C7BAC" w14:textId="77777777" w:rsidR="000B597C" w:rsidRPr="00CD5ED5" w:rsidRDefault="00CD5ED5">
      <w:pPr>
        <w:spacing w:before="277" w:line="276" w:lineRule="exact"/>
        <w:textAlignment w:val="baseline"/>
        <w:rPr>
          <w:rFonts w:eastAsia="Times New Roman"/>
          <w:color w:val="000000"/>
          <w:sz w:val="28"/>
          <w:szCs w:val="28"/>
        </w:rPr>
      </w:pPr>
      <w:bookmarkStart w:id="0" w:name="_GoBack"/>
      <w:r w:rsidRPr="00CD5ED5">
        <w:rPr>
          <w:rFonts w:eastAsia="Times New Roman"/>
          <w:color w:val="000000"/>
          <w:sz w:val="28"/>
          <w:szCs w:val="28"/>
        </w:rPr>
        <w:t xml:space="preserve">Las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fianzas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estado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Texas se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fijar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según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el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peligro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que la persona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represente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bookmarkEnd w:id="0"/>
      <w:r w:rsidRPr="00CD5ED5">
        <w:rPr>
          <w:rFonts w:eastAsia="Times New Roman"/>
          <w:color w:val="000000"/>
          <w:sz w:val="28"/>
          <w:szCs w:val="28"/>
        </w:rPr>
        <w:t xml:space="preserve">para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sociedad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probabilidad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que la persona se de a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fuga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y no,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la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capacidad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pago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esta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persona.</w:t>
      </w:r>
    </w:p>
    <w:p w14:paraId="4D715637" w14:textId="77777777" w:rsidR="000B597C" w:rsidRPr="00CD5ED5" w:rsidRDefault="00CD5ED5">
      <w:pPr>
        <w:spacing w:before="278" w:line="274" w:lineRule="exact"/>
        <w:textAlignment w:val="baseline"/>
        <w:rPr>
          <w:rFonts w:eastAsia="Times New Roman"/>
          <w:color w:val="000000"/>
          <w:spacing w:val="-3"/>
          <w:sz w:val="28"/>
          <w:szCs w:val="28"/>
        </w:rPr>
      </w:pPr>
      <w:r w:rsidRPr="00CD5ED5">
        <w:rPr>
          <w:rFonts w:eastAsia="Times New Roman"/>
          <w:color w:val="000000"/>
          <w:spacing w:val="-3"/>
          <w:sz w:val="28"/>
          <w:szCs w:val="28"/>
        </w:rPr>
        <w:t>Si o No.</w:t>
      </w:r>
    </w:p>
    <w:p w14:paraId="100568EE" w14:textId="145E5719" w:rsidR="000B597C" w:rsidRPr="00CD5ED5" w:rsidRDefault="00CD5ED5" w:rsidP="00CD5ED5">
      <w:pPr>
        <w:spacing w:before="280" w:line="274" w:lineRule="exact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Proposici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ó</w:t>
      </w:r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>n</w:t>
      </w:r>
      <w:proofErr w:type="spellEnd"/>
      <w:r w:rsidRPr="00CD5ED5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10 </w:t>
      </w:r>
    </w:p>
    <w:p w14:paraId="3A9729FC" w14:textId="77777777" w:rsidR="000B597C" w:rsidRPr="00CD5ED5" w:rsidRDefault="00CD5ED5">
      <w:pPr>
        <w:spacing w:before="279" w:line="274" w:lineRule="exact"/>
        <w:textAlignment w:val="baseline"/>
        <w:rPr>
          <w:rFonts w:eastAsia="Times New Roman"/>
          <w:color w:val="000000"/>
          <w:sz w:val="28"/>
          <w:szCs w:val="28"/>
        </w:rPr>
      </w:pPr>
      <w:r w:rsidRPr="00CD5ED5">
        <w:rPr>
          <w:rFonts w:eastAsia="Times New Roman"/>
          <w:color w:val="000000"/>
          <w:sz w:val="28"/>
          <w:szCs w:val="28"/>
        </w:rPr>
        <w:t xml:space="preserve">Texas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debería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limitar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gestión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de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nuestros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legisladores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estatales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 xml:space="preserve"> a 12 </w:t>
      </w:r>
      <w:proofErr w:type="spellStart"/>
      <w:r w:rsidRPr="00CD5ED5">
        <w:rPr>
          <w:rFonts w:eastAsia="Times New Roman"/>
          <w:color w:val="000000"/>
          <w:sz w:val="28"/>
          <w:szCs w:val="28"/>
        </w:rPr>
        <w:t>años</w:t>
      </w:r>
      <w:proofErr w:type="spellEnd"/>
      <w:r w:rsidRPr="00CD5ED5">
        <w:rPr>
          <w:rFonts w:eastAsia="Times New Roman"/>
          <w:color w:val="000000"/>
          <w:sz w:val="28"/>
          <w:szCs w:val="28"/>
        </w:rPr>
        <w:t>.</w:t>
      </w:r>
    </w:p>
    <w:p w14:paraId="543272E0" w14:textId="77777777" w:rsidR="000B597C" w:rsidRPr="00CD5ED5" w:rsidRDefault="00CD5ED5">
      <w:pPr>
        <w:spacing w:before="278" w:line="273" w:lineRule="exact"/>
        <w:textAlignment w:val="baseline"/>
        <w:rPr>
          <w:rFonts w:eastAsia="Times New Roman"/>
          <w:color w:val="000000"/>
          <w:spacing w:val="-2"/>
          <w:sz w:val="28"/>
          <w:szCs w:val="28"/>
        </w:rPr>
      </w:pPr>
      <w:r w:rsidRPr="00CD5ED5">
        <w:rPr>
          <w:rFonts w:eastAsia="Times New Roman"/>
          <w:color w:val="000000"/>
          <w:spacing w:val="-2"/>
          <w:sz w:val="28"/>
          <w:szCs w:val="28"/>
        </w:rPr>
        <w:t>Si o No</w:t>
      </w:r>
    </w:p>
    <w:sectPr w:rsidR="000B597C" w:rsidRPr="00CD5ED5" w:rsidSect="00CD5ED5">
      <w:pgSz w:w="12240" w:h="15840"/>
      <w:pgMar w:top="720" w:right="990" w:bottom="598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97C"/>
    <w:rsid w:val="000B597C"/>
    <w:rsid w:val="00C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643D"/>
  <w15:docId w15:val="{D789F7D8-29A2-49E4-8F0A-2144C510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Kaye</cp:lastModifiedBy>
  <cp:revision>2</cp:revision>
  <dcterms:created xsi:type="dcterms:W3CDTF">2019-12-27T17:56:00Z</dcterms:created>
  <dcterms:modified xsi:type="dcterms:W3CDTF">2019-12-27T18:04:00Z</dcterms:modified>
</cp:coreProperties>
</file>